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1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微软雅黑" w:eastAsia="方正小标宋简体" w:cs="宋体"/>
          <w:color w:val="000000" w:themeColor="text1"/>
          <w:kern w:val="0"/>
          <w:sz w:val="39"/>
          <w:szCs w:val="39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高层次急需紧缺专业人才公开招聘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考试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疫情防控考生须知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微软雅黑" w:eastAsia="方正小标宋简体" w:cs="宋体"/>
          <w:color w:val="000000" w:themeColor="text1"/>
          <w:kern w:val="0"/>
          <w:sz w:val="39"/>
          <w:szCs w:val="39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为保障广大考生和考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场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工作人员的生命安全和身体健康，确保2022年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高层次急需紧缺专业人才公开招聘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考试安全顺利进行，请所有考生知悉、理解、配合、支持考试防疫的措施和要求。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黑体" w:eastAsia="黑体" w:cs="Calibri"/>
          <w:color w:val="000000"/>
          <w:sz w:val="32"/>
          <w:szCs w:val="32"/>
        </w:rPr>
        <w:t>一、参加考试的考生做好以下准备：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Calibri" w:hAnsi="Calibri" w:eastAsia="仿宋_GB2312" w:cs="Calibri"/>
          <w:color w:val="000000"/>
          <w:sz w:val="21"/>
          <w:szCs w:val="21"/>
          <w:lang w:eastAsia="zh-CN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（一）认真做好考前14天健康监测。按照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《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山东省新冠肺炎疫情常态化防控期间考试防控指南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修订版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》要求，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考生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自考前14天起每天采取自查自报方式进行健康监测，早、晚各进行</w:t>
      </w: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次体温测量，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如实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填写《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考试人员健康管理信息采集表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》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《考生健康申明卡及安全考试承诺书》</w:t>
      </w:r>
      <w:r>
        <w:rPr>
          <w:rFonts w:hint="eastAsia" w:ascii="仿宋_GB2312" w:eastAsia="仿宋_GB2312" w:cs="Calibri"/>
          <w:color w:val="000000"/>
          <w:sz w:val="32"/>
          <w:szCs w:val="32"/>
          <w:lang w:eastAsia="zh-CN"/>
        </w:rPr>
        <w:t>，提交考场工作人员。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一旦发现发热、乏力、咳嗽、咽痛、打喷嚏、腹泻、呕吐、黄疸、皮疹、结膜充血等疑似症状，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考生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应及时报告，并尽快就诊排查。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须由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专家研判考生身体条件是否符合考试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rFonts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（二）请提前全面了解并严格遵守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临沂市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疫情防控相关要求和出行防疫政策，减少不必要的聚集和跨区域流动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不到人群流动性较大场所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不前往中高风险等级地区等。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6"/>
        <w:jc w:val="both"/>
        <w:textAlignment w:val="auto"/>
        <w:rPr>
          <w:rFonts w:hint="eastAsia"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当前仍滞留在外省的考生，应及时如实报告自身健康情况、相关返程安排等信息。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alibri" w:hAnsi="Calibri" w:eastAsia="仿宋" w:cs="Calibri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（三）请提前申领“山东省电子健康通行码”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（可通过微信公众号</w:t>
      </w:r>
      <w:r>
        <w:rPr>
          <w:rFonts w:hint="eastAsia" w:cs="Calibri"/>
          <w:color w:val="000000"/>
          <w:sz w:val="32"/>
          <w:szCs w:val="32"/>
        </w:rPr>
        <w:t>“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健康山东服务号</w:t>
      </w:r>
      <w:r>
        <w:rPr>
          <w:rFonts w:hint="eastAsia" w:cs="Calibri"/>
          <w:color w:val="000000"/>
          <w:sz w:val="32"/>
          <w:szCs w:val="32"/>
        </w:rPr>
        <w:t>”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、爱山东</w:t>
      </w:r>
      <w:r>
        <w:rPr>
          <w:rFonts w:hint="eastAsia" w:cs="Calibri"/>
          <w:color w:val="000000"/>
          <w:sz w:val="32"/>
          <w:szCs w:val="32"/>
        </w:rPr>
        <w:t>APP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、支付宝</w:t>
      </w:r>
      <w:r>
        <w:rPr>
          <w:rFonts w:hint="eastAsia" w:cs="Calibri"/>
          <w:color w:val="000000"/>
          <w:sz w:val="32"/>
          <w:szCs w:val="32"/>
        </w:rPr>
        <w:t>“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电子健康通行卡</w:t>
      </w:r>
      <w:r>
        <w:rPr>
          <w:rFonts w:hint="eastAsia" w:cs="Calibri"/>
          <w:color w:val="000000"/>
          <w:sz w:val="32"/>
          <w:szCs w:val="32"/>
        </w:rPr>
        <w:t>”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等渠道申领）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，省内考生在通行码申请模块申领，省外考生在来鲁申报模块申领</w:t>
      </w:r>
      <w:r>
        <w:rPr>
          <w:rFonts w:hint="eastAsia" w:ascii="仿宋" w:hAnsi="仿宋" w:eastAsia="仿宋" w:cs="Calibri"/>
          <w:color w:val="000000"/>
          <w:sz w:val="32"/>
          <w:szCs w:val="32"/>
          <w:lang w:val="en-US" w:eastAsia="zh-CN"/>
        </w:rPr>
        <w:t>,到达考试地点后扫描“沂码通”。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（四）考前进行核酸检测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鼓励考生接种新冠病毒疫苗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.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本市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考生：考生须持考前48小时内核酸检测阴性证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>明（电子、纸质同等效力，下同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方可参加考试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2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.省内跨地市考试的考生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：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须持启程前48小时内核酸检测阴性证明和抵达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本市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后考前48小时内核酸检测阴性证明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方可参加考试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3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.外省入鲁返鲁参加考试的考生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省外低风险地区所在县（市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、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区）入鲁返鲁人员须提前3天到达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启程前48小时内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进行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核酸检测，抵达后第1天和第</w:t>
      </w:r>
      <w:r>
        <w:rPr>
          <w:rFonts w:hint="eastAsia" w:cs="Calibri"/>
          <w:color w:val="000000"/>
          <w:sz w:val="32"/>
          <w:szCs w:val="32"/>
        </w:rPr>
        <w:t>3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天各进行</w:t>
      </w: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次核酸检测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  <w:r>
        <w:rPr>
          <w:rFonts w:hint="eastAsia" w:ascii="仿宋_GB2312" w:eastAsia="仿宋_GB2312" w:cs="Calibri"/>
          <w:color w:val="000000"/>
          <w:sz w:val="32"/>
          <w:szCs w:val="32"/>
          <w:lang w:eastAsia="zh-CN"/>
        </w:rPr>
        <w:t>入鲁后到达地点不是临沂市的，须参照第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2条（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省内跨地市考试的考生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）提供抵达本市后48h内核酸检测阴性证明。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携带上述核酸检测阴性证明方可参加考试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cs="Calibri"/>
          <w:color w:val="000000"/>
          <w:sz w:val="32"/>
          <w:szCs w:val="32"/>
        </w:rPr>
        <w:t>2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省外中风险地区所在县（市、区）入鲁返鲁人员须提前7天到达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启程前48小时内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进行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抵达后进行7天居家健康监测，在第1天、第</w:t>
      </w:r>
      <w:r>
        <w:rPr>
          <w:rFonts w:hint="eastAsia" w:cs="Calibri"/>
          <w:color w:val="000000"/>
          <w:sz w:val="32"/>
          <w:szCs w:val="32"/>
        </w:rPr>
        <w:t>3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天和第</w:t>
      </w:r>
      <w:r>
        <w:rPr>
          <w:rFonts w:hint="eastAsia" w:cs="Calibri"/>
          <w:color w:val="000000"/>
          <w:sz w:val="32"/>
          <w:szCs w:val="32"/>
        </w:rPr>
        <w:t>7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天各进行</w:t>
      </w: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次核酸检测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  <w:r>
        <w:rPr>
          <w:rFonts w:hint="eastAsia" w:ascii="仿宋_GB2312" w:eastAsia="仿宋_GB2312" w:cs="Calibri"/>
          <w:color w:val="000000"/>
          <w:sz w:val="32"/>
          <w:szCs w:val="32"/>
          <w:lang w:eastAsia="zh-CN"/>
        </w:rPr>
        <w:t>入鲁后到达地点不是临沂市的，须参照第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2条（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省内跨地市考试的考生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）提供抵达本市后48h内核酸检测阴性证明。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携带上述核酸检测阴性证明方可参加考试。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cs="Calibri"/>
          <w:color w:val="000000"/>
          <w:sz w:val="32"/>
          <w:szCs w:val="32"/>
        </w:rPr>
        <w:t>3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省外高风险地区所在县（市、区）入鲁返鲁人员须提前14天到达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启程前48小时内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进行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抵达后进行7天集中隔离和</w:t>
      </w:r>
      <w:r>
        <w:rPr>
          <w:rFonts w:hint="eastAsia" w:cs="Calibri"/>
          <w:color w:val="000000"/>
          <w:sz w:val="32"/>
          <w:szCs w:val="32"/>
        </w:rPr>
        <w:t>7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天居家健康监测，并按照当地健康监测要求进行核酸检测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  <w:r>
        <w:rPr>
          <w:rFonts w:hint="eastAsia" w:ascii="仿宋_GB2312" w:eastAsia="仿宋_GB2312" w:cs="Calibri"/>
          <w:color w:val="000000"/>
          <w:sz w:val="32"/>
          <w:szCs w:val="32"/>
          <w:lang w:eastAsia="zh-CN"/>
        </w:rPr>
        <w:t>入鲁后到达地点不是临沂市的，须参照第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2条（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省内跨地市考试的考生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）提供抵达本市后48h内核酸检测阴性证明。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携带上述核酸检测阴性证明方可参加考试。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cs="Calibri"/>
          <w:color w:val="000000"/>
          <w:sz w:val="32"/>
          <w:szCs w:val="32"/>
        </w:rPr>
        <w:t>4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对尚未公布的中高风险地区但近期新增感染者较多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、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存在社区传播风险的其他疫情风险区域，参照中高风险地区所在县（市、区）执行。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外省入鲁返鲁的考生应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>提前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报备，在落实好上述疫情防控措施基础上按要求参加考试。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4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.开考前14天内有发热、咳嗽等症状的，还须提供医疗机构出具的诊断证明方可参加考试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黑体" w:eastAsia="黑体" w:cs="Calibri"/>
          <w:color w:val="000000"/>
          <w:sz w:val="32"/>
          <w:szCs w:val="32"/>
        </w:rPr>
        <w:t>二、考生考试期间义务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楷体_GB2312" w:hAnsi="Calibri" w:eastAsia="楷体_GB2312" w:cs="Calibri"/>
          <w:color w:val="000000"/>
          <w:sz w:val="32"/>
          <w:szCs w:val="32"/>
        </w:rPr>
        <w:t>（一）配合和服从防疫管理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1.所有考生在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期间须全程佩戴一次性医用外科口罩，进行身份核验时需摘除口罩。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2.考生分批分次入场，候考人员保持适当距离，避免人员聚集。自觉配合完成检测流程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后进入考场，并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在规定区域活动。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3.如有相应症状或经检测发现有异常情况的，要按规定服从“不得参加考试”“安排到隔离考场考试”“就诊”等相关处置。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楷体_GB2312" w:hAnsi="Calibri" w:eastAsia="楷体_GB2312" w:cs="Calibri"/>
          <w:color w:val="000000"/>
          <w:sz w:val="32"/>
          <w:szCs w:val="32"/>
        </w:rPr>
        <w:t>（二）关注身体状况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考试期间考生出现发热（体温≥</w:t>
      </w:r>
      <w:r>
        <w:rPr>
          <w:rFonts w:hint="eastAsia" w:cs="Calibri"/>
          <w:color w:val="000000"/>
          <w:sz w:val="32"/>
          <w:szCs w:val="32"/>
        </w:rPr>
        <w:t>37.3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℃）等异常症状的，应及时报告并自觉服从考试现场工作人员管理。经卫生或疾控专业人员研判认为具备继续参加考试条件的，安排在隔离考场继续考试。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黑体" w:eastAsia="黑体" w:cs="Calibri"/>
          <w:color w:val="000000"/>
          <w:sz w:val="32"/>
          <w:szCs w:val="32"/>
        </w:rPr>
        <w:t>三、有关要求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（一）考生应认真阅读本防控须知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如违反相关规定，自愿承担相关责任、接受相应处理。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造成不良后果的，依法追究其法律责任。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both"/>
        <w:textAlignment w:val="auto"/>
        <w:rPr>
          <w:rFonts w:hint="eastAsia" w:cs="Calibri"/>
          <w:color w:val="000000"/>
          <w:sz w:val="32"/>
          <w:szCs w:val="32"/>
        </w:rPr>
      </w:pPr>
      <w:r>
        <w:rPr>
          <w:rFonts w:hint="eastAsia" w:cs="Calibri"/>
          <w:color w:val="000000"/>
          <w:sz w:val="32"/>
          <w:szCs w:val="32"/>
        </w:rPr>
        <w:t>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both"/>
        <w:textAlignment w:val="auto"/>
        <w:rPr>
          <w:rFonts w:hint="eastAsia" w:cs="Calibri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临沂市中心医院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2022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年</w:t>
      </w:r>
      <w:r>
        <w:rPr>
          <w:rFonts w:hint="eastAsia" w:eastAsia="仿宋_GB2312" w:cs="Calibri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月</w:t>
      </w:r>
      <w:r>
        <w:rPr>
          <w:rFonts w:hint="eastAsia" w:eastAsia="仿宋_GB2312" w:cs="Calibri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0MTNmMGExMDg4MmUyMmRhNGRhMDYzYmRmNzE0ZjcifQ=="/>
  </w:docVars>
  <w:rsids>
    <w:rsidRoot w:val="00EA6CDF"/>
    <w:rsid w:val="002439FD"/>
    <w:rsid w:val="00E00CE2"/>
    <w:rsid w:val="00EA6CDF"/>
    <w:rsid w:val="09115C38"/>
    <w:rsid w:val="5D6F28A7"/>
    <w:rsid w:val="5EA80A42"/>
    <w:rsid w:val="6E1D075B"/>
    <w:rsid w:val="7F7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1684</Words>
  <Characters>1722</Characters>
  <Lines>14</Lines>
  <Paragraphs>3</Paragraphs>
  <TotalTime>1</TotalTime>
  <ScaleCrop>false</ScaleCrop>
  <LinksUpToDate>false</LinksUpToDate>
  <CharactersWithSpaces>1722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2022-06-01T00:10:00Z</dcterms:created>
  <dc:creator>苑 广磊</dc:creator>
  <cp:lastModifiedBy>lyszxyy</cp:lastModifiedBy>
  <dcterms:modified xsi:type="dcterms:W3CDTF">2022-06-17T06:37:14Z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7BED97F7EAD842C1BB12EECAA7B58ADE</vt:lpwstr>
  </property>
</Properties>
</file>